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6E" w:rsidRDefault="0037236E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250190</wp:posOffset>
            </wp:positionV>
            <wp:extent cx="830580" cy="581025"/>
            <wp:effectExtent l="19050" t="0" r="7620" b="0"/>
            <wp:wrapThrough wrapText="bothSides">
              <wp:wrapPolygon edited="0">
                <wp:start x="-495" y="0"/>
                <wp:lineTo x="-495" y="21246"/>
                <wp:lineTo x="21798" y="21246"/>
                <wp:lineTo x="21798" y="0"/>
                <wp:lineTo x="-495" y="0"/>
              </wp:wrapPolygon>
            </wp:wrapThrough>
            <wp:docPr id="17" name="Picture 12" descr="Slikovni rezultat za europska unija zajedno do fondova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europska unija zajedno do fondova 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250190</wp:posOffset>
            </wp:positionV>
            <wp:extent cx="1304925" cy="514350"/>
            <wp:effectExtent l="19050" t="0" r="9525" b="0"/>
            <wp:wrapThrough wrapText="bothSides">
              <wp:wrapPolygon edited="0">
                <wp:start x="-315" y="0"/>
                <wp:lineTo x="-315" y="20800"/>
                <wp:lineTo x="21758" y="20800"/>
                <wp:lineTo x="21758" y="0"/>
                <wp:lineTo x="-315" y="0"/>
              </wp:wrapPolygon>
            </wp:wrapThrough>
            <wp:docPr id="16" name="Picture 10" descr="Slikovni rezultat za operativni program konkurentnost i kohez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erativni program konkurentnost i kohezij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145415</wp:posOffset>
            </wp:positionV>
            <wp:extent cx="1161415" cy="514350"/>
            <wp:effectExtent l="19050" t="0" r="635" b="0"/>
            <wp:wrapThrough wrapText="bothSides">
              <wp:wrapPolygon edited="0">
                <wp:start x="-354" y="0"/>
                <wp:lineTo x="-354" y="20800"/>
                <wp:lineTo x="21612" y="20800"/>
                <wp:lineTo x="21612" y="0"/>
                <wp:lineTo x="-354" y="0"/>
              </wp:wrapPolygon>
            </wp:wrapThrough>
            <wp:docPr id="15" name="Picture 9" descr="C:\Users\Korisnik\AppData\Local\Microsoft\Windows\Temporary Internet Files\Content.Word\Europski strukturni i investicijski fond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AppData\Local\Microsoft\Windows\Temporary Internet Files\Content.Word\Europski strukturni i investicijski fondo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297815</wp:posOffset>
            </wp:positionV>
            <wp:extent cx="733425" cy="361950"/>
            <wp:effectExtent l="19050" t="0" r="9525" b="0"/>
            <wp:wrapNone/>
            <wp:docPr id="11" name="Slika 1" descr="JuPrirodaLogo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PrirodaLogoFull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90" t="20543" r="21120" b="3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7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7236E" w:rsidRPr="0037236E" w:rsidRDefault="0037236E" w:rsidP="0037236E"/>
    <w:p w:rsidR="0037236E" w:rsidRPr="0037236E" w:rsidRDefault="0037236E" w:rsidP="0037236E"/>
    <w:p w:rsidR="0037236E" w:rsidRDefault="0037236E" w:rsidP="0037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5"/>
        </w:tabs>
        <w:spacing w:after="0"/>
        <w:jc w:val="center"/>
        <w:rPr>
          <w:b/>
          <w:sz w:val="24"/>
          <w:szCs w:val="24"/>
        </w:rPr>
      </w:pPr>
      <w:r w:rsidRPr="0037236E">
        <w:rPr>
          <w:b/>
          <w:sz w:val="24"/>
          <w:szCs w:val="24"/>
        </w:rPr>
        <w:t>Operativni program „Konkurentnost i kohezija 2014.-2020.“, Promicanje održivog razvoja prirodne baštine KK.06.1.2.02.</w:t>
      </w:r>
    </w:p>
    <w:p w:rsidR="0037236E" w:rsidRPr="0037236E" w:rsidRDefault="0037236E" w:rsidP="0037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5"/>
        </w:tabs>
        <w:spacing w:after="0"/>
        <w:jc w:val="center"/>
        <w:rPr>
          <w:b/>
          <w:sz w:val="24"/>
          <w:szCs w:val="24"/>
        </w:rPr>
      </w:pPr>
    </w:p>
    <w:p w:rsidR="0037236E" w:rsidRPr="0037236E" w:rsidRDefault="0037236E" w:rsidP="0037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5"/>
        </w:tabs>
        <w:jc w:val="center"/>
        <w:rPr>
          <w:b/>
          <w:sz w:val="24"/>
          <w:szCs w:val="24"/>
        </w:rPr>
      </w:pPr>
      <w:r w:rsidRPr="0037236E">
        <w:rPr>
          <w:b/>
          <w:sz w:val="24"/>
          <w:szCs w:val="24"/>
        </w:rPr>
        <w:t>PROJEKT  „Ekološki centar – Vrata Zrinske gore“</w:t>
      </w:r>
    </w:p>
    <w:p w:rsidR="0037236E" w:rsidRDefault="00023C67" w:rsidP="002B76EB">
      <w:pPr>
        <w:tabs>
          <w:tab w:val="left" w:pos="1800"/>
        </w:tabs>
        <w:spacing w:line="240" w:lineRule="auto"/>
      </w:pPr>
      <w:r>
        <w:t>Javna ustanova  za upravljanje zaštićenim dijelovima prirode Sisačko-moslavačke županije je partner Grada Petrinje u projektu „Ekološki centar – Vrata Zrinske gore“ koji se financira iz sredstava EU Operativni program „Konkuretnost i kohezija 2014.-2020.“, Promicanje održivog razvoja prirodne baštine KK.06.1.2.02.</w:t>
      </w:r>
    </w:p>
    <w:p w:rsidR="002B76EB" w:rsidRPr="002B76EB" w:rsidRDefault="002B76EB" w:rsidP="002B76EB">
      <w:pPr>
        <w:autoSpaceDE w:val="0"/>
        <w:autoSpaceDN w:val="0"/>
        <w:adjustRightInd w:val="0"/>
        <w:spacing w:after="0" w:line="240" w:lineRule="auto"/>
        <w:jc w:val="both"/>
      </w:pPr>
      <w:r w:rsidRPr="002B76EB">
        <w:rPr>
          <w:rFonts w:eastAsia="TimesNewRomanPSMT" w:cs="TimesNewRomanPSMT"/>
        </w:rPr>
        <w:t xml:space="preserve">Projekt Ekološki centar - Vrata Zrinske gore" </w:t>
      </w:r>
      <w:r>
        <w:rPr>
          <w:rFonts w:eastAsia="TimesNewRomanPSMT" w:cs="TimesNewRomanPSMT"/>
        </w:rPr>
        <w:t>usmjeren je na</w:t>
      </w:r>
      <w:r w:rsidRPr="002B76EB">
        <w:rPr>
          <w:rFonts w:eastAsia="TimesNewRomanPSMT" w:cs="TimesNewRomanPSMT"/>
        </w:rPr>
        <w:t xml:space="preserve"> uređenje postojećeg objekta Dječjeg istraživačkog centra </w:t>
      </w:r>
      <w:r>
        <w:rPr>
          <w:rFonts w:eastAsia="TimesNewRomanPSMT" w:cs="TimesNewRomanPSMT"/>
        </w:rPr>
        <w:t xml:space="preserve">u Prnjavoru Ćuntićkom, </w:t>
      </w:r>
      <w:r w:rsidRPr="002B76EB">
        <w:rPr>
          <w:rFonts w:eastAsia="TimesNewRomanPSMT" w:cs="TimesNewRomanPSMT"/>
        </w:rPr>
        <w:t>u prostor Ekološkog</w:t>
      </w:r>
      <w:r>
        <w:rPr>
          <w:rFonts w:eastAsia="TimesNewRomanPSMT" w:cs="TimesNewRomanPSMT"/>
        </w:rPr>
        <w:t xml:space="preserve"> </w:t>
      </w:r>
      <w:r w:rsidRPr="002B76EB">
        <w:rPr>
          <w:rFonts w:eastAsia="TimesNewRomanPSMT" w:cs="TimesNewRomanPSMT"/>
        </w:rPr>
        <w:t>centra namijenjenog održavanju odgojno-obrazovnih i istraživačkih programa sa ciljem očuvanja i promocije prirodne baštine, na području</w:t>
      </w:r>
      <w:r>
        <w:rPr>
          <w:rFonts w:eastAsia="TimesNewRomanPSMT" w:cs="TimesNewRomanPSMT"/>
        </w:rPr>
        <w:t xml:space="preserve"> </w:t>
      </w:r>
      <w:r w:rsidRPr="002B76EB">
        <w:rPr>
          <w:rFonts w:eastAsia="TimesNewRomanPSMT" w:cs="TimesNewRomanPSMT"/>
        </w:rPr>
        <w:t>Sisačko - moslavačke ž</w:t>
      </w:r>
      <w:r>
        <w:rPr>
          <w:rFonts w:eastAsia="TimesNewRomanPSMT" w:cs="TimesNewRomanPSMT"/>
        </w:rPr>
        <w:t xml:space="preserve">upanije, </w:t>
      </w:r>
      <w:r w:rsidRPr="002B76EB">
        <w:rPr>
          <w:rFonts w:eastAsia="TimesNewRomanPSMT" w:cs="TimesNewRomanPSMT"/>
        </w:rPr>
        <w:t xml:space="preserve"> grada Petrinje i područja ekološke mreže - Zrinske Gore. Osim uređenja i opremanja Centra, projektom će se</w:t>
      </w:r>
      <w:r>
        <w:rPr>
          <w:rFonts w:eastAsia="TimesNewRomanPSMT" w:cs="TimesNewRomanPSMT"/>
        </w:rPr>
        <w:t xml:space="preserve"> </w:t>
      </w:r>
      <w:r w:rsidRPr="002B76EB">
        <w:rPr>
          <w:rFonts w:eastAsia="TimesNewRomanPSMT" w:cs="TimesNewRomanPSMT"/>
        </w:rPr>
        <w:t>provoditi edukativne i promotivne aktivnosti te izra</w:t>
      </w:r>
      <w:r>
        <w:rPr>
          <w:rFonts w:eastAsia="TimesNewRomanPSMT" w:cs="TimesNewRomanPSMT"/>
        </w:rPr>
        <w:t>diti</w:t>
      </w:r>
      <w:r w:rsidRPr="002B76EB">
        <w:rPr>
          <w:rFonts w:eastAsia="TimesNewRomanPSMT" w:cs="TimesNewRomanPSMT"/>
        </w:rPr>
        <w:t xml:space="preserve"> potrebna </w:t>
      </w:r>
      <w:r>
        <w:rPr>
          <w:rFonts w:eastAsia="TimesNewRomanPSMT" w:cs="TimesNewRomanPSMT"/>
        </w:rPr>
        <w:t xml:space="preserve">projektna </w:t>
      </w:r>
      <w:r w:rsidRPr="002B76EB">
        <w:rPr>
          <w:rFonts w:eastAsia="TimesNewRomanPSMT" w:cs="TimesNewRomanPSMT"/>
        </w:rPr>
        <w:t>dokumentacija.</w:t>
      </w:r>
      <w:r>
        <w:rPr>
          <w:rFonts w:eastAsia="TimesNewRomanPSMT" w:cs="TimesNewRomanPSMT"/>
        </w:rPr>
        <w:t xml:space="preserve">  Suradnik na projektu je udruga „Put kestena“ iz Petrinje.</w:t>
      </w:r>
    </w:p>
    <w:p w:rsidR="002B76EB" w:rsidRDefault="002B76EB" w:rsidP="002B76E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</w:p>
    <w:p w:rsidR="00117A60" w:rsidRDefault="00117A60" w:rsidP="00117A6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Javna ustanova za upravljanje zaštićenim dijelovima prirode Sisačko-moslavačke županije u okviru projekta provodi edukativne aktivnosti na temu zaštite, promocije i očuvanja prirodnih vrijednosti Zrinske gore i Petrinjčice te održivog razvoja NATURA 2000 područja. S tim ciljem je planirano održavanje ukupno 20 radionica i okruglih stolova na kojima će se omogućiti upoznavanje svih dionika koji žive i/ili koriste gospodarske resurse, škole, širu javnost i predstaviti važnije sastavnice prirodnih vrijednosti čija je opstojnost vezana uz čovjeka.   Zaštita prirode je zbog čovjeka,  ovisi o njemu, a sve nepromišljenosti  u postupanju s prirodom se mogu dugoročno negativno odraziti na život čovjeka. </w:t>
      </w:r>
    </w:p>
    <w:p w:rsidR="00117A60" w:rsidRDefault="00117A60" w:rsidP="002B76E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</w:p>
    <w:p w:rsidR="00023C67" w:rsidRDefault="002B76EB" w:rsidP="002B76E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Zrinska gora sa svojim okolnim područjem je</w:t>
      </w:r>
      <w:r w:rsidR="00023C67" w:rsidRPr="002B76EB">
        <w:rPr>
          <w:rFonts w:eastAsia="TimesNewRomanPSMT" w:cs="TimesNewRomanPSMT"/>
        </w:rPr>
        <w:t xml:space="preserve"> geološk</w:t>
      </w:r>
      <w:r>
        <w:rPr>
          <w:rFonts w:eastAsia="TimesNewRomanPSMT" w:cs="TimesNewRomanPSMT"/>
        </w:rPr>
        <w:t>i staro područje bogato rudama, vodom,  očuvanog krajobraza te velikom biološkom raznolikosti flore i faune. Obronci Zrinske gore su obrasli šumskim sastojinama hrasta kitnjaka, bukve, graba i pitomog kestena te se najočuvanije kestenove šume u jugoistočnoj Europi. Niža područja na kojima su se razvila naselja, obuhvaćaju mozaičan krajobraz voćnjaka, livada</w:t>
      </w:r>
      <w:r w:rsidR="00D32788">
        <w:rPr>
          <w:rFonts w:eastAsia="TimesNewRomanPSMT" w:cs="TimesNewRomanPSMT"/>
        </w:rPr>
        <w:t>, živica</w:t>
      </w:r>
      <w:r>
        <w:rPr>
          <w:rFonts w:eastAsia="TimesNewRomanPSMT" w:cs="TimesNewRomanPSMT"/>
        </w:rPr>
        <w:t xml:space="preserve"> i pašnjaka</w:t>
      </w:r>
      <w:r w:rsidR="00D32788">
        <w:rPr>
          <w:rFonts w:eastAsia="TimesNewRomanPSMT" w:cs="TimesNewRomanPSMT"/>
        </w:rPr>
        <w:t xml:space="preserve"> sa brojnim primjercima zaštićene flore i faune.</w:t>
      </w:r>
    </w:p>
    <w:p w:rsidR="00D32788" w:rsidRDefault="00D32788" w:rsidP="002B76E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</w:p>
    <w:p w:rsidR="00D32788" w:rsidRDefault="00D32788" w:rsidP="002B76E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Zbog iznimnih karakteristika područja, dosadašnje korištenje prostora i gospodarske aktivnosti  omogućile su očuvanje staništa, flore i faune koje su zbog svog značaja zaštićene u okviru EU ekološke mreže NATURA 2000.</w:t>
      </w:r>
    </w:p>
    <w:p w:rsidR="00D32788" w:rsidRPr="002B76EB" w:rsidRDefault="00D32788" w:rsidP="002B76E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Zrinska gora, Petrinjčica, Područje uz Maju i Bručinu, Špilja kod Šušnjara, Područje oko špilje Gradusa, Područje oko Hrvatske Kostajnice, Dolina Une, Kupa su područja koja su temeljem znanstvenih i stručnih kriterija dio NATURA2000 na prostoru Banovine. Vrijednost ovih područja je </w:t>
      </w:r>
      <w:r w:rsidR="009B45F5">
        <w:rPr>
          <w:rFonts w:eastAsia="TimesNewRomanPSMT" w:cs="TimesNewRomanPSMT"/>
        </w:rPr>
        <w:t xml:space="preserve">uz prirodne kompnente i </w:t>
      </w:r>
      <w:r>
        <w:rPr>
          <w:rFonts w:eastAsia="TimesNewRomanPSMT" w:cs="TimesNewRomanPSMT"/>
        </w:rPr>
        <w:t>dio ljudskog rada i života na ovim prostorima, te ga kao takvog trebamo i očuvati za buduće generacije. Na području Grada Petrinje se nalaze još dva područja upisana u registar zaštićenih područja RH, a to su značajni krajobraz Kotar-Stari gaj i spomenik parkovne arhitekture Strossmayerovo šetalište u Petrinji.</w:t>
      </w:r>
    </w:p>
    <w:p w:rsidR="00023C67" w:rsidRDefault="00023C67" w:rsidP="00CC2790">
      <w:pPr>
        <w:pStyle w:val="Odlomakpopisa"/>
        <w:spacing w:line="240" w:lineRule="auto"/>
        <w:ind w:left="0"/>
        <w:jc w:val="both"/>
        <w:rPr>
          <w:rFonts w:asciiTheme="minorHAnsi" w:hAnsiTheme="minorHAnsi"/>
          <w:lang w:val="hr-HR"/>
        </w:rPr>
      </w:pPr>
    </w:p>
    <w:p w:rsidR="0037236E" w:rsidRDefault="0037236E" w:rsidP="009B45F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NeoSans-Regular" w:hAnsi="NeoSans-Regular" w:cs="NeoSans-Regular"/>
          <w:sz w:val="20"/>
          <w:szCs w:val="20"/>
        </w:rPr>
        <w:t>„Organizacija radionica/okruglih stolova je sufinancirana u okviru Operativnog programa Konkurentnost i kohezija, iz Europskog fonda za regionalni razvoj.“</w:t>
      </w:r>
    </w:p>
    <w:sectPr w:rsidR="0037236E" w:rsidSect="003332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oSans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19C"/>
    <w:rsid w:val="00023C67"/>
    <w:rsid w:val="00073BBF"/>
    <w:rsid w:val="00117A60"/>
    <w:rsid w:val="002B76EB"/>
    <w:rsid w:val="00333206"/>
    <w:rsid w:val="003335EB"/>
    <w:rsid w:val="0037236E"/>
    <w:rsid w:val="00372858"/>
    <w:rsid w:val="003D5049"/>
    <w:rsid w:val="00475B5B"/>
    <w:rsid w:val="0061109F"/>
    <w:rsid w:val="0085777E"/>
    <w:rsid w:val="009736F5"/>
    <w:rsid w:val="009B45F5"/>
    <w:rsid w:val="00A34A71"/>
    <w:rsid w:val="00C4019C"/>
    <w:rsid w:val="00C558A9"/>
    <w:rsid w:val="00C82624"/>
    <w:rsid w:val="00CC2790"/>
    <w:rsid w:val="00D32788"/>
    <w:rsid w:val="00D36EB5"/>
    <w:rsid w:val="00D46E10"/>
    <w:rsid w:val="00FA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19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3C67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Benac</dc:creator>
  <cp:keywords/>
  <dc:description/>
  <cp:lastModifiedBy>Kata Benac</cp:lastModifiedBy>
  <cp:revision>4</cp:revision>
  <dcterms:created xsi:type="dcterms:W3CDTF">2019-06-06T09:19:00Z</dcterms:created>
  <dcterms:modified xsi:type="dcterms:W3CDTF">2019-06-06T09:57:00Z</dcterms:modified>
</cp:coreProperties>
</file>